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37" w:rsidRDefault="00A352C4" w:rsidP="00246F0F">
      <w:pPr>
        <w:pStyle w:val="BodyText"/>
        <w:ind w:left="2590"/>
        <w:rPr>
          <w:i/>
          <w:sz w:val="16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4516308" cy="414527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30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37" w:rsidRDefault="00252F37">
      <w:pPr>
        <w:rPr>
          <w:sz w:val="16"/>
        </w:rPr>
      </w:pPr>
    </w:p>
    <w:p w:rsidR="00252F37" w:rsidRPr="00A352C4" w:rsidRDefault="00246F0F">
      <w:pPr>
        <w:pStyle w:val="Heading1"/>
        <w:rPr>
          <w:b/>
        </w:rPr>
      </w:pPr>
      <w:r w:rsidRPr="00A352C4">
        <w:rPr>
          <w:b/>
        </w:rPr>
        <w:t>New Mexico State University Vision B</w:t>
      </w:r>
      <w:r w:rsidR="00A352C4" w:rsidRPr="00A352C4">
        <w:rPr>
          <w:b/>
        </w:rPr>
        <w:t>enefit Summary</w:t>
      </w:r>
    </w:p>
    <w:p w:rsidR="00252F37" w:rsidRDefault="00252F37">
      <w:pPr>
        <w:pStyle w:val="BodyText"/>
        <w:spacing w:before="11"/>
        <w:rPr>
          <w:rFonts w:ascii="Segoe UI Semibold"/>
          <w:b/>
          <w:sz w:val="36"/>
        </w:rPr>
      </w:pPr>
    </w:p>
    <w:p w:rsidR="00A352C4" w:rsidRDefault="00A352C4">
      <w:pPr>
        <w:tabs>
          <w:tab w:val="left" w:pos="2879"/>
        </w:tabs>
        <w:ind w:left="1440"/>
        <w:rPr>
          <w:rFonts w:ascii="Segoe UI Semibold"/>
          <w:b/>
        </w:rPr>
      </w:pPr>
      <w:r>
        <w:rPr>
          <w:rFonts w:ascii="Segoe UI Semibold"/>
          <w:b/>
        </w:rPr>
        <w:t>Effective January 1, 2021</w:t>
      </w:r>
    </w:p>
    <w:p w:rsidR="00252F37" w:rsidRDefault="00A352C4">
      <w:pPr>
        <w:tabs>
          <w:tab w:val="left" w:pos="2879"/>
        </w:tabs>
        <w:ind w:left="1440"/>
      </w:pPr>
      <w:r w:rsidRPr="00A352C4">
        <w:rPr>
          <w:rFonts w:ascii="Segoe UI Semibold"/>
          <w:b/>
        </w:rPr>
        <w:t>Eligibility:</w:t>
      </w:r>
      <w:r>
        <w:rPr>
          <w:rFonts w:ascii="Segoe UI Semibold"/>
          <w:b/>
          <w:color w:val="605F9B"/>
        </w:rPr>
        <w:tab/>
      </w:r>
      <w:r>
        <w:rPr>
          <w:position w:val="1"/>
        </w:rPr>
        <w:t>All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Retirees</w:t>
      </w:r>
      <w:r w:rsidR="00246F0F">
        <w:rPr>
          <w:position w:val="1"/>
        </w:rPr>
        <w:t xml:space="preserve"> and their covered dependents</w:t>
      </w:r>
    </w:p>
    <w:p w:rsidR="00252F37" w:rsidRDefault="00A352C4">
      <w:pPr>
        <w:spacing w:before="123"/>
        <w:ind w:left="1439"/>
      </w:pPr>
      <w:r>
        <w:t>Dependent coverage is available until age 26</w:t>
      </w:r>
    </w:p>
    <w:p w:rsidR="00252F37" w:rsidRDefault="00252F37">
      <w:pPr>
        <w:pStyle w:val="BodyText"/>
        <w:rPr>
          <w:sz w:val="11"/>
        </w:rPr>
      </w:pPr>
    </w:p>
    <w:tbl>
      <w:tblPr>
        <w:tblW w:w="0" w:type="auto"/>
        <w:tblInd w:w="1435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3914"/>
        <w:gridCol w:w="1576"/>
      </w:tblGrid>
      <w:tr w:rsidR="00252F37">
        <w:trPr>
          <w:trHeight w:val="625"/>
        </w:trPr>
        <w:tc>
          <w:tcPr>
            <w:tcW w:w="3914" w:type="dxa"/>
            <w:tcBorders>
              <w:right w:val="nil"/>
            </w:tcBorders>
            <w:shd w:val="clear" w:color="auto" w:fill="00B0F0"/>
          </w:tcPr>
          <w:p w:rsidR="00252F37" w:rsidRDefault="00252F37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252F37" w:rsidRDefault="00A352C4">
            <w:pPr>
              <w:pStyle w:val="TableParagraph"/>
              <w:spacing w:before="0"/>
              <w:ind w:left="105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Vision Care Service</w:t>
            </w:r>
          </w:p>
        </w:tc>
        <w:tc>
          <w:tcPr>
            <w:tcW w:w="3914" w:type="dxa"/>
            <w:tcBorders>
              <w:left w:val="nil"/>
              <w:right w:val="nil"/>
            </w:tcBorders>
            <w:shd w:val="clear" w:color="auto" w:fill="00B0F0"/>
          </w:tcPr>
          <w:p w:rsidR="00252F37" w:rsidRDefault="00252F37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252F37" w:rsidRDefault="00A352C4">
            <w:pPr>
              <w:pStyle w:val="TableParagraph"/>
              <w:spacing w:before="0"/>
              <w:ind w:left="823" w:right="93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In-Network Member Cost</w:t>
            </w:r>
          </w:p>
        </w:tc>
        <w:tc>
          <w:tcPr>
            <w:tcW w:w="1576" w:type="dxa"/>
            <w:tcBorders>
              <w:left w:val="nil"/>
            </w:tcBorders>
            <w:shd w:val="clear" w:color="auto" w:fill="00B0F0"/>
          </w:tcPr>
          <w:p w:rsidR="00252F37" w:rsidRDefault="00A352C4">
            <w:pPr>
              <w:pStyle w:val="TableParagraph"/>
              <w:spacing w:before="102"/>
              <w:ind w:left="43" w:right="147" w:firstLine="2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Out-of-Network Reimbursement</w:t>
            </w:r>
          </w:p>
        </w:tc>
      </w:tr>
      <w:tr w:rsidR="00252F37">
        <w:trPr>
          <w:trHeight w:val="302"/>
        </w:trPr>
        <w:tc>
          <w:tcPr>
            <w:tcW w:w="391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49"/>
              <w:jc w:val="left"/>
              <w:rPr>
                <w:sz w:val="18"/>
              </w:rPr>
            </w:pPr>
            <w:r>
              <w:rPr>
                <w:sz w:val="18"/>
              </w:rPr>
              <w:t>Exam with dilation as necessary</w:t>
            </w:r>
          </w:p>
        </w:tc>
        <w:tc>
          <w:tcPr>
            <w:tcW w:w="391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49"/>
              <w:ind w:left="20" w:right="8"/>
              <w:rPr>
                <w:sz w:val="18"/>
              </w:rPr>
            </w:pPr>
            <w:r>
              <w:rPr>
                <w:sz w:val="18"/>
              </w:rPr>
              <w:t>$10 copay</w:t>
            </w:r>
          </w:p>
        </w:tc>
        <w:tc>
          <w:tcPr>
            <w:tcW w:w="157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49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Up to $30</w:t>
            </w:r>
          </w:p>
        </w:tc>
      </w:tr>
      <w:tr w:rsidR="00252F37">
        <w:trPr>
          <w:trHeight w:val="239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252F37" w:rsidRPr="00A352C4" w:rsidRDefault="00A352C4">
            <w:pPr>
              <w:pStyle w:val="TableParagraph"/>
              <w:spacing w:before="0" w:line="220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Frequency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  <w:tc>
          <w:tcPr>
            <w:tcW w:w="54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0" w:line="206" w:lineRule="exact"/>
              <w:ind w:left="1820" w:right="1809"/>
              <w:rPr>
                <w:sz w:val="18"/>
              </w:rPr>
            </w:pPr>
            <w:r>
              <w:rPr>
                <w:sz w:val="18"/>
              </w:rPr>
              <w:t>Once every 12 months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Lenses or contact lenses</w:t>
            </w:r>
          </w:p>
        </w:tc>
        <w:tc>
          <w:tcPr>
            <w:tcW w:w="54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0" w:line="206" w:lineRule="exact"/>
              <w:ind w:left="1820" w:right="1809"/>
              <w:rPr>
                <w:sz w:val="18"/>
              </w:rPr>
            </w:pPr>
            <w:r>
              <w:rPr>
                <w:sz w:val="18"/>
              </w:rPr>
              <w:t>Once every 12 months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Frame</w:t>
            </w:r>
          </w:p>
        </w:tc>
        <w:tc>
          <w:tcPr>
            <w:tcW w:w="54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0" w:line="206" w:lineRule="exact"/>
              <w:ind w:left="1820" w:right="1809"/>
              <w:rPr>
                <w:sz w:val="18"/>
              </w:rPr>
            </w:pPr>
            <w:r>
              <w:rPr>
                <w:sz w:val="18"/>
              </w:rPr>
              <w:t>Once every 24 months</w:t>
            </w:r>
          </w:p>
        </w:tc>
      </w:tr>
      <w:tr w:rsidR="00252F37">
        <w:trPr>
          <w:trHeight w:val="294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24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Exam options</w:t>
            </w:r>
          </w:p>
        </w:tc>
      </w:tr>
      <w:tr w:rsidR="00252F37">
        <w:trPr>
          <w:trHeight w:val="921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252F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252F37" w:rsidRDefault="00A352C4">
            <w:pPr>
              <w:pStyle w:val="TableParagraph"/>
              <w:spacing w:before="126"/>
              <w:jc w:val="left"/>
              <w:rPr>
                <w:sz w:val="18"/>
              </w:rPr>
            </w:pPr>
            <w:r>
              <w:rPr>
                <w:sz w:val="18"/>
              </w:rPr>
              <w:t>Contact lens fit and follow up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23" w:line="264" w:lineRule="auto"/>
              <w:ind w:left="20" w:right="4"/>
              <w:rPr>
                <w:sz w:val="18"/>
              </w:rPr>
            </w:pPr>
            <w:r>
              <w:rPr>
                <w:sz w:val="18"/>
              </w:rPr>
              <w:t>Standard: $0 copay, paid in full fit and two follow up visits;</w:t>
            </w:r>
          </w:p>
          <w:p w:rsidR="00252F37" w:rsidRDefault="00A352C4">
            <w:pPr>
              <w:pStyle w:val="TableParagraph"/>
              <w:spacing w:before="5"/>
              <w:ind w:left="19" w:right="11"/>
              <w:rPr>
                <w:sz w:val="18"/>
              </w:rPr>
            </w:pPr>
            <w:r>
              <w:rPr>
                <w:sz w:val="18"/>
              </w:rPr>
              <w:t>Premium: $0 copay, 10% off retail price, then</w:t>
            </w:r>
          </w:p>
          <w:p w:rsidR="00252F37" w:rsidRDefault="00A352C4">
            <w:pPr>
              <w:pStyle w:val="TableParagraph"/>
              <w:spacing w:before="24" w:line="187" w:lineRule="exact"/>
              <w:ind w:left="20" w:right="10"/>
              <w:rPr>
                <w:sz w:val="18"/>
              </w:rPr>
            </w:pPr>
            <w:r>
              <w:rPr>
                <w:sz w:val="18"/>
              </w:rPr>
              <w:t>apply $40 allowance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252F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252F37" w:rsidRDefault="00A352C4">
            <w:pPr>
              <w:pStyle w:val="TableParagraph"/>
              <w:spacing w:before="126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$40</w:t>
            </w:r>
          </w:p>
        </w:tc>
      </w:tr>
      <w:tr w:rsidR="00252F37">
        <w:trPr>
          <w:trHeight w:val="229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0" w:line="210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Frames</w:t>
            </w:r>
          </w:p>
        </w:tc>
      </w:tr>
      <w:tr w:rsidR="00252F37">
        <w:trPr>
          <w:trHeight w:val="54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59" w:line="264" w:lineRule="auto"/>
              <w:ind w:right="2099"/>
              <w:jc w:val="left"/>
              <w:rPr>
                <w:sz w:val="18"/>
              </w:rPr>
            </w:pPr>
            <w:r>
              <w:rPr>
                <w:sz w:val="18"/>
              </w:rPr>
              <w:t>Any available frame at provider location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" w:line="207" w:lineRule="exact"/>
              <w:ind w:left="20" w:right="11"/>
              <w:rPr>
                <w:sz w:val="18"/>
              </w:rPr>
            </w:pPr>
            <w:r>
              <w:rPr>
                <w:sz w:val="18"/>
              </w:rPr>
              <w:t>$0 Copay/$130 Allowance/20% off balance over</w:t>
            </w:r>
          </w:p>
          <w:p w:rsidR="00252F37" w:rsidRDefault="00A352C4">
            <w:pPr>
              <w:pStyle w:val="TableParagraph"/>
              <w:spacing w:before="0" w:line="207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$130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71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$65</w:t>
            </w:r>
          </w:p>
        </w:tc>
      </w:tr>
      <w:tr w:rsidR="00252F37">
        <w:trPr>
          <w:trHeight w:val="229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0" w:line="210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Standard Plastic Lenses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Single vision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$10 copay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$25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Bifocal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$10 copay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$40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Trifocal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$10 copay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$55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Lenticular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$10 copay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$55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Standard progressive lens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$75 copay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$40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Premium progressive lens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See table on page 2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Up to $40</w:t>
            </w:r>
          </w:p>
        </w:tc>
      </w:tr>
      <w:tr w:rsidR="00252F37">
        <w:trPr>
          <w:trHeight w:val="230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0" w:line="210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Lens options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UV treatment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$15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Tint (solid and gradient)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$15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Standard plastic scratch coating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0" w:right="458"/>
              <w:jc w:val="right"/>
              <w:rPr>
                <w:sz w:val="18"/>
              </w:rPr>
            </w:pPr>
            <w:r>
              <w:rPr>
                <w:sz w:val="18"/>
              </w:rPr>
              <w:t>Up to $5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Standard polycarbonate – adults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$40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Standard polycarbonate – kids under 19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0" w:right="458"/>
              <w:jc w:val="right"/>
              <w:rPr>
                <w:sz w:val="18"/>
              </w:rPr>
            </w:pPr>
            <w:r>
              <w:rPr>
                <w:sz w:val="18"/>
              </w:rPr>
              <w:t>Up to $5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Standard anti-reflective coating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Polarized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8"/>
              <w:rPr>
                <w:sz w:val="18"/>
              </w:rPr>
            </w:pPr>
            <w:r>
              <w:rPr>
                <w:sz w:val="18"/>
              </w:rPr>
              <w:t>20% off retail price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29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Photochromatic/transitions plastic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3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Premium anti-reflective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20" w:right="10"/>
              <w:rPr>
                <w:sz w:val="18"/>
              </w:rPr>
            </w:pPr>
            <w:r>
              <w:rPr>
                <w:sz w:val="18"/>
              </w:rPr>
              <w:t>See below table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line="201" w:lineRule="exact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230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0" w:line="210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Contact lenses (contact lens allowance includes materials only)</w:t>
            </w:r>
          </w:p>
        </w:tc>
      </w:tr>
      <w:tr w:rsidR="00252F37">
        <w:trPr>
          <w:trHeight w:val="273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5"/>
              <w:jc w:val="left"/>
              <w:rPr>
                <w:sz w:val="18"/>
              </w:rPr>
            </w:pPr>
            <w:r>
              <w:rPr>
                <w:sz w:val="18"/>
              </w:rPr>
              <w:t>Conventional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5"/>
              <w:ind w:left="20" w:right="10"/>
              <w:rPr>
                <w:sz w:val="18"/>
              </w:rPr>
            </w:pPr>
            <w:r>
              <w:rPr>
                <w:sz w:val="18"/>
              </w:rPr>
              <w:t>$0 copay/ $130 Allowance/ 15% off balance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5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Up to $104</w:t>
            </w:r>
          </w:p>
        </w:tc>
      </w:tr>
      <w:tr w:rsidR="00252F37">
        <w:trPr>
          <w:trHeight w:val="460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28"/>
              <w:jc w:val="left"/>
              <w:rPr>
                <w:sz w:val="18"/>
              </w:rPr>
            </w:pPr>
            <w:r>
              <w:rPr>
                <w:sz w:val="18"/>
              </w:rPr>
              <w:t>Disposable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3"/>
              <w:ind w:left="20" w:right="11"/>
              <w:rPr>
                <w:sz w:val="18"/>
              </w:rPr>
            </w:pPr>
            <w:r>
              <w:rPr>
                <w:sz w:val="18"/>
              </w:rPr>
              <w:t>$0 copay/ $130 Allowance/ Plus balance over</w:t>
            </w:r>
          </w:p>
          <w:p w:rsidR="00252F37" w:rsidRDefault="00A352C4">
            <w:pPr>
              <w:pStyle w:val="TableParagraph"/>
              <w:spacing w:before="23" w:line="197" w:lineRule="exact"/>
              <w:ind w:left="20" w:right="7"/>
              <w:rPr>
                <w:sz w:val="18"/>
              </w:rPr>
            </w:pPr>
            <w:r>
              <w:rPr>
                <w:sz w:val="18"/>
              </w:rPr>
              <w:t>$130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28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Up to $104</w:t>
            </w:r>
          </w:p>
        </w:tc>
      </w:tr>
      <w:tr w:rsidR="00252F37">
        <w:trPr>
          <w:trHeight w:val="292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9"/>
              <w:jc w:val="left"/>
              <w:rPr>
                <w:sz w:val="18"/>
              </w:rPr>
            </w:pPr>
            <w:r>
              <w:rPr>
                <w:sz w:val="18"/>
              </w:rPr>
              <w:t>Medically necessary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9"/>
              <w:ind w:left="20" w:right="11"/>
              <w:rPr>
                <w:sz w:val="18"/>
              </w:rPr>
            </w:pPr>
            <w:r>
              <w:rPr>
                <w:sz w:val="18"/>
              </w:rPr>
              <w:t>$0 copay, Paid in full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9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Up to $210</w:t>
            </w:r>
          </w:p>
        </w:tc>
      </w:tr>
      <w:tr w:rsidR="00252F37">
        <w:trPr>
          <w:trHeight w:val="227"/>
        </w:trPr>
        <w:tc>
          <w:tcPr>
            <w:tcW w:w="94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:rsidR="00252F37" w:rsidRPr="00A352C4" w:rsidRDefault="00A352C4">
            <w:pPr>
              <w:pStyle w:val="TableParagraph"/>
              <w:spacing w:before="0" w:line="208" w:lineRule="exact"/>
              <w:jc w:val="left"/>
              <w:rPr>
                <w:rFonts w:ascii="Segoe UI Semibold"/>
                <w:sz w:val="18"/>
              </w:rPr>
            </w:pPr>
            <w:r w:rsidRPr="00A352C4">
              <w:rPr>
                <w:rFonts w:ascii="Segoe UI Semibold"/>
                <w:sz w:val="18"/>
              </w:rPr>
              <w:t>Other</w:t>
            </w:r>
          </w:p>
        </w:tc>
      </w:tr>
      <w:tr w:rsidR="00252F37">
        <w:trPr>
          <w:trHeight w:val="462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28"/>
              <w:jc w:val="left"/>
              <w:rPr>
                <w:sz w:val="18"/>
              </w:rPr>
            </w:pPr>
            <w:r>
              <w:rPr>
                <w:sz w:val="18"/>
              </w:rPr>
              <w:t>Lasik or PRK from U.S. Laser Network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3" w:line="230" w:lineRule="exact"/>
              <w:ind w:left="986" w:right="957" w:firstLine="117"/>
              <w:jc w:val="left"/>
              <w:rPr>
                <w:sz w:val="18"/>
              </w:rPr>
            </w:pPr>
            <w:r>
              <w:rPr>
                <w:sz w:val="18"/>
              </w:rPr>
              <w:t>15% off retail price or 5% off promotional price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128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52F37">
        <w:trPr>
          <w:trHeight w:val="918"/>
        </w:trPr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252F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252F37" w:rsidRDefault="00A352C4">
            <w:pPr>
              <w:pStyle w:val="TableParagraph"/>
              <w:spacing w:before="131"/>
              <w:jc w:val="left"/>
              <w:rPr>
                <w:sz w:val="18"/>
              </w:rPr>
            </w:pPr>
            <w:r>
              <w:rPr>
                <w:sz w:val="18"/>
              </w:rPr>
              <w:t>Additional pairs benefit:</w:t>
            </w:r>
          </w:p>
        </w:tc>
        <w:tc>
          <w:tcPr>
            <w:tcW w:w="3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A352C4">
            <w:pPr>
              <w:pStyle w:val="TableParagraph"/>
              <w:spacing w:before="44"/>
              <w:ind w:left="20" w:right="8"/>
              <w:rPr>
                <w:sz w:val="18"/>
              </w:rPr>
            </w:pPr>
            <w:r>
              <w:rPr>
                <w:sz w:val="18"/>
              </w:rPr>
              <w:t>Members also receive a 40% discount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off complete pair eyeglass purchase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252F37" w:rsidRDefault="00A352C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z w:val="18"/>
              </w:rPr>
              <w:t>15% discount off conventional contact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lenses once the funded benefit has been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used.</w:t>
            </w:r>
          </w:p>
        </w:tc>
        <w:tc>
          <w:tcPr>
            <w:tcW w:w="1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2F37" w:rsidRDefault="00252F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252F37" w:rsidRDefault="00A352C4">
            <w:pPr>
              <w:pStyle w:val="TableParagraph"/>
              <w:spacing w:before="126"/>
              <w:ind w:left="593" w:right="6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:rsidR="00252F37" w:rsidRDefault="00252F37">
      <w:pPr>
        <w:rPr>
          <w:sz w:val="18"/>
        </w:rPr>
        <w:sectPr w:rsidR="00252F37">
          <w:footerReference w:type="default" r:id="rId8"/>
          <w:pgSz w:w="12240" w:h="15840"/>
          <w:pgMar w:top="860" w:right="0" w:bottom="900" w:left="0" w:header="0" w:footer="718" w:gutter="0"/>
          <w:pgNumType w:start="4"/>
          <w:cols w:space="720"/>
        </w:sectPr>
      </w:pPr>
    </w:p>
    <w:p w:rsidR="00252F37" w:rsidRPr="00A352C4" w:rsidRDefault="00246F0F">
      <w:pPr>
        <w:spacing w:before="71"/>
        <w:ind w:left="1348"/>
        <w:rPr>
          <w:rFonts w:ascii="Segoe UI Semibold"/>
          <w:b/>
          <w:sz w:val="40"/>
        </w:rPr>
      </w:pPr>
      <w:r w:rsidRPr="00A352C4">
        <w:rPr>
          <w:rFonts w:ascii="Segoe UI Semibold"/>
          <w:b/>
          <w:sz w:val="40"/>
        </w:rPr>
        <w:lastRenderedPageBreak/>
        <w:t xml:space="preserve">New Mexico State University Vision Benefit Summary </w:t>
      </w:r>
      <w:r w:rsidR="00A352C4" w:rsidRPr="00A352C4">
        <w:rPr>
          <w:rFonts w:ascii="Segoe UI Semibold"/>
          <w:b/>
          <w:sz w:val="40"/>
        </w:rPr>
        <w:t>(continued)</w:t>
      </w:r>
    </w:p>
    <w:p w:rsidR="00252F37" w:rsidRDefault="00252F37">
      <w:pPr>
        <w:pStyle w:val="BodyText"/>
        <w:spacing w:before="12"/>
        <w:rPr>
          <w:rFonts w:ascii="Segoe UI Semibold"/>
          <w:b/>
          <w:sz w:val="17"/>
        </w:rPr>
      </w:pPr>
    </w:p>
    <w:tbl>
      <w:tblPr>
        <w:tblW w:w="0" w:type="auto"/>
        <w:tblInd w:w="1402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642"/>
      </w:tblGrid>
      <w:tr w:rsidR="00252F37">
        <w:trPr>
          <w:trHeight w:val="395"/>
        </w:trPr>
        <w:tc>
          <w:tcPr>
            <w:tcW w:w="4810" w:type="dxa"/>
            <w:shd w:val="clear" w:color="auto" w:fill="00B0F0"/>
          </w:tcPr>
          <w:p w:rsidR="00252F37" w:rsidRDefault="00A352C4">
            <w:pPr>
              <w:pStyle w:val="TableParagraph"/>
              <w:spacing w:before="90"/>
              <w:ind w:left="1091" w:right="1082"/>
              <w:rPr>
                <w:sz w:val="18"/>
              </w:rPr>
            </w:pPr>
            <w:r>
              <w:rPr>
                <w:color w:val="FFFFFF"/>
                <w:sz w:val="18"/>
              </w:rPr>
              <w:t>Progressive price list*</w:t>
            </w:r>
          </w:p>
        </w:tc>
        <w:tc>
          <w:tcPr>
            <w:tcW w:w="4642" w:type="dxa"/>
            <w:shd w:val="clear" w:color="auto" w:fill="00B0F0"/>
          </w:tcPr>
          <w:p w:rsidR="00252F37" w:rsidRDefault="00A352C4">
            <w:pPr>
              <w:pStyle w:val="TableParagraph"/>
              <w:spacing w:before="90"/>
              <w:ind w:left="408" w:right="399"/>
              <w:rPr>
                <w:sz w:val="18"/>
              </w:rPr>
            </w:pPr>
            <w:r>
              <w:rPr>
                <w:color w:val="FFFFFF"/>
                <w:sz w:val="18"/>
              </w:rPr>
              <w:t>Member cost in-network</w:t>
            </w:r>
          </w:p>
        </w:tc>
      </w:tr>
      <w:tr w:rsidR="00252F37">
        <w:trPr>
          <w:trHeight w:val="407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72"/>
              <w:ind w:left="1091" w:right="1083"/>
              <w:rPr>
                <w:rFonts w:ascii="Segoe UI Semibold"/>
                <w:b/>
                <w:sz w:val="18"/>
              </w:rPr>
            </w:pPr>
            <w:r>
              <w:rPr>
                <w:rFonts w:ascii="Segoe UI Semibold"/>
                <w:b/>
                <w:sz w:val="18"/>
              </w:rPr>
              <w:t>Standard progressive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97"/>
              <w:ind w:left="409" w:right="397"/>
              <w:rPr>
                <w:sz w:val="18"/>
              </w:rPr>
            </w:pPr>
            <w:r>
              <w:rPr>
                <w:sz w:val="18"/>
              </w:rPr>
              <w:t>$75 copay</w:t>
            </w:r>
          </w:p>
        </w:tc>
      </w:tr>
      <w:tr w:rsidR="00252F37">
        <w:trPr>
          <w:trHeight w:val="412"/>
        </w:trPr>
        <w:tc>
          <w:tcPr>
            <w:tcW w:w="9452" w:type="dxa"/>
            <w:gridSpan w:val="2"/>
            <w:shd w:val="clear" w:color="auto" w:fill="F2F2F2"/>
          </w:tcPr>
          <w:p w:rsidR="00252F37" w:rsidRDefault="00A352C4">
            <w:pPr>
              <w:pStyle w:val="TableParagraph"/>
              <w:spacing w:before="84"/>
              <w:ind w:left="3349" w:right="3346"/>
              <w:rPr>
                <w:rFonts w:ascii="Segoe UI Semibold"/>
                <w:b/>
                <w:sz w:val="18"/>
              </w:rPr>
            </w:pPr>
            <w:r>
              <w:rPr>
                <w:rFonts w:ascii="Segoe UI Semibold"/>
                <w:b/>
                <w:sz w:val="18"/>
              </w:rPr>
              <w:t>Premium progressives as follows:</w:t>
            </w:r>
          </w:p>
        </w:tc>
      </w:tr>
      <w:tr w:rsidR="00252F37">
        <w:trPr>
          <w:trHeight w:val="302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3"/>
              <w:rPr>
                <w:sz w:val="18"/>
              </w:rPr>
            </w:pPr>
            <w:r>
              <w:rPr>
                <w:sz w:val="18"/>
              </w:rPr>
              <w:t>Tier 1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0" w:line="206" w:lineRule="exact"/>
              <w:ind w:left="409" w:right="396"/>
              <w:rPr>
                <w:sz w:val="18"/>
              </w:rPr>
            </w:pPr>
            <w:r>
              <w:rPr>
                <w:sz w:val="18"/>
              </w:rPr>
              <w:t>$95</w:t>
            </w:r>
          </w:p>
        </w:tc>
      </w:tr>
      <w:tr w:rsidR="00252F37">
        <w:trPr>
          <w:trHeight w:val="301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3"/>
              <w:rPr>
                <w:sz w:val="18"/>
              </w:rPr>
            </w:pPr>
            <w:r>
              <w:rPr>
                <w:sz w:val="18"/>
              </w:rPr>
              <w:t>Tier 2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0" w:line="206" w:lineRule="exact"/>
              <w:ind w:left="409" w:right="396"/>
              <w:rPr>
                <w:sz w:val="18"/>
              </w:rPr>
            </w:pPr>
            <w:r>
              <w:rPr>
                <w:sz w:val="18"/>
              </w:rPr>
              <w:t>$105</w:t>
            </w:r>
          </w:p>
        </w:tc>
      </w:tr>
      <w:tr w:rsidR="00252F37">
        <w:trPr>
          <w:trHeight w:val="302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3"/>
              <w:rPr>
                <w:sz w:val="18"/>
              </w:rPr>
            </w:pPr>
            <w:r>
              <w:rPr>
                <w:sz w:val="18"/>
              </w:rPr>
              <w:t>Tier 3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0" w:line="206" w:lineRule="exact"/>
              <w:ind w:left="409" w:right="396"/>
              <w:rPr>
                <w:sz w:val="18"/>
              </w:rPr>
            </w:pPr>
            <w:r>
              <w:rPr>
                <w:sz w:val="18"/>
              </w:rPr>
              <w:t>$120</w:t>
            </w:r>
          </w:p>
        </w:tc>
      </w:tr>
      <w:tr w:rsidR="00252F37">
        <w:trPr>
          <w:trHeight w:val="302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3"/>
              <w:rPr>
                <w:sz w:val="18"/>
              </w:rPr>
            </w:pPr>
            <w:r>
              <w:rPr>
                <w:sz w:val="18"/>
              </w:rPr>
              <w:t>Tier 4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4"/>
              <w:ind w:left="409" w:right="399"/>
              <w:rPr>
                <w:sz w:val="18"/>
              </w:rPr>
            </w:pPr>
            <w:r>
              <w:rPr>
                <w:sz w:val="18"/>
              </w:rPr>
              <w:t>$75 copay, 80% of charge less $120 Allowance</w:t>
            </w:r>
          </w:p>
        </w:tc>
      </w:tr>
      <w:tr w:rsidR="00252F37">
        <w:trPr>
          <w:trHeight w:val="402"/>
        </w:trPr>
        <w:tc>
          <w:tcPr>
            <w:tcW w:w="4810" w:type="dxa"/>
            <w:shd w:val="clear" w:color="auto" w:fill="00B0F0"/>
          </w:tcPr>
          <w:p w:rsidR="00252F37" w:rsidRDefault="00A352C4">
            <w:pPr>
              <w:pStyle w:val="TableParagraph"/>
              <w:spacing w:before="95"/>
              <w:ind w:left="1091" w:right="1082"/>
              <w:rPr>
                <w:sz w:val="18"/>
              </w:rPr>
            </w:pPr>
            <w:r>
              <w:rPr>
                <w:color w:val="FFFFFF"/>
                <w:sz w:val="18"/>
              </w:rPr>
              <w:t>Anti-reflective coating price list*</w:t>
            </w:r>
          </w:p>
        </w:tc>
        <w:tc>
          <w:tcPr>
            <w:tcW w:w="4642" w:type="dxa"/>
            <w:shd w:val="clear" w:color="auto" w:fill="00B0F0"/>
          </w:tcPr>
          <w:p w:rsidR="00252F37" w:rsidRDefault="00A352C4">
            <w:pPr>
              <w:pStyle w:val="TableParagraph"/>
              <w:spacing w:before="95"/>
              <w:ind w:left="408" w:right="399"/>
              <w:rPr>
                <w:sz w:val="18"/>
              </w:rPr>
            </w:pPr>
            <w:r>
              <w:rPr>
                <w:color w:val="FFFFFF"/>
                <w:sz w:val="18"/>
              </w:rPr>
              <w:t>Member cost in-network</w:t>
            </w:r>
          </w:p>
        </w:tc>
      </w:tr>
      <w:tr w:rsidR="00252F37">
        <w:trPr>
          <w:trHeight w:val="354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5"/>
              <w:ind w:left="1091" w:right="1084"/>
              <w:rPr>
                <w:rFonts w:ascii="Segoe UI Semibold"/>
                <w:b/>
                <w:sz w:val="18"/>
              </w:rPr>
            </w:pPr>
            <w:r>
              <w:rPr>
                <w:rFonts w:ascii="Segoe UI Semibold"/>
                <w:b/>
                <w:sz w:val="18"/>
              </w:rPr>
              <w:t>Standard anti-reflective coating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71"/>
              <w:ind w:left="409" w:right="396"/>
              <w:rPr>
                <w:sz w:val="18"/>
              </w:rPr>
            </w:pPr>
            <w:r>
              <w:rPr>
                <w:sz w:val="18"/>
              </w:rPr>
              <w:t>$45</w:t>
            </w:r>
          </w:p>
        </w:tc>
      </w:tr>
      <w:tr w:rsidR="00252F37">
        <w:trPr>
          <w:trHeight w:val="431"/>
        </w:trPr>
        <w:tc>
          <w:tcPr>
            <w:tcW w:w="9452" w:type="dxa"/>
            <w:gridSpan w:val="2"/>
            <w:shd w:val="clear" w:color="auto" w:fill="F2F2F2"/>
          </w:tcPr>
          <w:p w:rsidR="00252F37" w:rsidRDefault="00A352C4">
            <w:pPr>
              <w:pStyle w:val="TableParagraph"/>
              <w:spacing w:before="93"/>
              <w:ind w:left="2944"/>
              <w:jc w:val="left"/>
              <w:rPr>
                <w:rFonts w:ascii="Segoe UI Semibold"/>
                <w:b/>
                <w:sz w:val="18"/>
              </w:rPr>
            </w:pPr>
            <w:r>
              <w:rPr>
                <w:rFonts w:ascii="Segoe UI Semibold"/>
                <w:b/>
                <w:sz w:val="18"/>
              </w:rPr>
              <w:t>Premium anti-reflective coatings as follows:</w:t>
            </w:r>
          </w:p>
        </w:tc>
      </w:tr>
      <w:tr w:rsidR="00252F37">
        <w:trPr>
          <w:trHeight w:val="302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7"/>
              <w:ind w:left="1091" w:right="1083"/>
              <w:rPr>
                <w:sz w:val="18"/>
              </w:rPr>
            </w:pPr>
            <w:r>
              <w:rPr>
                <w:sz w:val="18"/>
              </w:rPr>
              <w:t>Tier 1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7"/>
              <w:ind w:left="409" w:right="396"/>
              <w:rPr>
                <w:sz w:val="18"/>
              </w:rPr>
            </w:pPr>
            <w:r>
              <w:rPr>
                <w:sz w:val="18"/>
              </w:rPr>
              <w:t>$57</w:t>
            </w:r>
          </w:p>
        </w:tc>
      </w:tr>
      <w:tr w:rsidR="00252F37">
        <w:trPr>
          <w:trHeight w:val="301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7"/>
              <w:ind w:left="1091" w:right="1083"/>
              <w:rPr>
                <w:sz w:val="18"/>
              </w:rPr>
            </w:pPr>
            <w:r>
              <w:rPr>
                <w:sz w:val="18"/>
              </w:rPr>
              <w:t>Tier 2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7"/>
              <w:ind w:left="409" w:right="396"/>
              <w:rPr>
                <w:sz w:val="18"/>
              </w:rPr>
            </w:pPr>
            <w:r>
              <w:rPr>
                <w:sz w:val="18"/>
              </w:rPr>
              <w:t>$68</w:t>
            </w:r>
          </w:p>
        </w:tc>
      </w:tr>
      <w:tr w:rsidR="00252F37">
        <w:trPr>
          <w:trHeight w:val="301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7"/>
              <w:ind w:left="1091" w:right="1083"/>
              <w:rPr>
                <w:sz w:val="18"/>
              </w:rPr>
            </w:pPr>
            <w:r>
              <w:rPr>
                <w:sz w:val="18"/>
              </w:rPr>
              <w:t>Tier 3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7"/>
              <w:ind w:left="409" w:right="399"/>
              <w:rPr>
                <w:sz w:val="18"/>
              </w:rPr>
            </w:pPr>
            <w:r>
              <w:rPr>
                <w:sz w:val="18"/>
              </w:rPr>
              <w:t>80% of charge</w:t>
            </w:r>
          </w:p>
        </w:tc>
      </w:tr>
      <w:tr w:rsidR="00252F37">
        <w:trPr>
          <w:trHeight w:val="395"/>
        </w:trPr>
        <w:tc>
          <w:tcPr>
            <w:tcW w:w="4810" w:type="dxa"/>
            <w:shd w:val="clear" w:color="auto" w:fill="00B0F0"/>
          </w:tcPr>
          <w:p w:rsidR="00252F37" w:rsidRDefault="00A352C4">
            <w:pPr>
              <w:pStyle w:val="TableParagraph"/>
              <w:spacing w:before="92"/>
              <w:ind w:left="1091" w:right="1083"/>
              <w:rPr>
                <w:sz w:val="18"/>
              </w:rPr>
            </w:pPr>
            <w:r>
              <w:rPr>
                <w:color w:val="FFFFFF"/>
                <w:sz w:val="18"/>
              </w:rPr>
              <w:t>Other add-ons price list</w:t>
            </w:r>
          </w:p>
        </w:tc>
        <w:tc>
          <w:tcPr>
            <w:tcW w:w="4642" w:type="dxa"/>
            <w:shd w:val="clear" w:color="auto" w:fill="00B0F0"/>
          </w:tcPr>
          <w:p w:rsidR="00252F37" w:rsidRDefault="00A352C4">
            <w:pPr>
              <w:pStyle w:val="TableParagraph"/>
              <w:spacing w:before="92"/>
              <w:ind w:left="408" w:right="399"/>
              <w:rPr>
                <w:sz w:val="18"/>
              </w:rPr>
            </w:pPr>
            <w:r>
              <w:rPr>
                <w:color w:val="FFFFFF"/>
                <w:sz w:val="18"/>
              </w:rPr>
              <w:t>Member cost in-network</w:t>
            </w:r>
          </w:p>
        </w:tc>
      </w:tr>
      <w:tr w:rsidR="00252F37">
        <w:trPr>
          <w:trHeight w:val="302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0"/>
              <w:rPr>
                <w:sz w:val="18"/>
              </w:rPr>
            </w:pPr>
            <w:r>
              <w:rPr>
                <w:sz w:val="18"/>
              </w:rPr>
              <w:t>Photochromic (plastic)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4"/>
              <w:ind w:left="409" w:right="396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</w:tr>
      <w:tr w:rsidR="00252F37">
        <w:trPr>
          <w:trHeight w:val="301"/>
        </w:trPr>
        <w:tc>
          <w:tcPr>
            <w:tcW w:w="4810" w:type="dxa"/>
          </w:tcPr>
          <w:p w:rsidR="00252F37" w:rsidRDefault="00A352C4">
            <w:pPr>
              <w:pStyle w:val="TableParagraph"/>
              <w:spacing w:before="44"/>
              <w:ind w:left="1091" w:right="1082"/>
              <w:rPr>
                <w:sz w:val="18"/>
              </w:rPr>
            </w:pPr>
            <w:r>
              <w:rPr>
                <w:sz w:val="18"/>
              </w:rPr>
              <w:t>Polarized</w:t>
            </w:r>
          </w:p>
        </w:tc>
        <w:tc>
          <w:tcPr>
            <w:tcW w:w="4642" w:type="dxa"/>
          </w:tcPr>
          <w:p w:rsidR="00252F37" w:rsidRDefault="00A352C4">
            <w:pPr>
              <w:pStyle w:val="TableParagraph"/>
              <w:spacing w:before="44"/>
              <w:ind w:left="409" w:right="399"/>
              <w:rPr>
                <w:sz w:val="18"/>
              </w:rPr>
            </w:pPr>
            <w:r>
              <w:rPr>
                <w:sz w:val="18"/>
              </w:rPr>
              <w:t>80% of charge</w:t>
            </w:r>
          </w:p>
        </w:tc>
      </w:tr>
      <w:tr w:rsidR="00252F37">
        <w:trPr>
          <w:trHeight w:val="249"/>
        </w:trPr>
        <w:tc>
          <w:tcPr>
            <w:tcW w:w="9452" w:type="dxa"/>
            <w:gridSpan w:val="2"/>
            <w:tcBorders>
              <w:left w:val="nil"/>
              <w:right w:val="nil"/>
            </w:tcBorders>
          </w:tcPr>
          <w:p w:rsidR="00252F37" w:rsidRDefault="00252F3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252F37">
        <w:trPr>
          <w:trHeight w:val="657"/>
        </w:trPr>
        <w:tc>
          <w:tcPr>
            <w:tcW w:w="9452" w:type="dxa"/>
            <w:gridSpan w:val="2"/>
          </w:tcPr>
          <w:p w:rsidR="00252F37" w:rsidRDefault="00A352C4">
            <w:pPr>
              <w:pStyle w:val="TableParagraph"/>
              <w:spacing w:before="121"/>
              <w:ind w:right="553"/>
              <w:jc w:val="left"/>
              <w:rPr>
                <w:sz w:val="18"/>
              </w:rPr>
            </w:pPr>
            <w:r>
              <w:rPr>
                <w:sz w:val="18"/>
              </w:rPr>
              <w:t>Blue Cross and Blue Shield of New Mexico reserves the right to make changes to the products on each tier and the member’s out-of-pocket costs.</w:t>
            </w:r>
          </w:p>
        </w:tc>
      </w:tr>
      <w:tr w:rsidR="00252F37">
        <w:trPr>
          <w:trHeight w:val="386"/>
        </w:trPr>
        <w:tc>
          <w:tcPr>
            <w:tcW w:w="9452" w:type="dxa"/>
            <w:gridSpan w:val="2"/>
          </w:tcPr>
          <w:p w:rsidR="00252F37" w:rsidRDefault="00A352C4">
            <w:pPr>
              <w:pStyle w:val="TableParagraph"/>
              <w:spacing w:before="90"/>
              <w:jc w:val="left"/>
              <w:rPr>
                <w:sz w:val="18"/>
              </w:rPr>
            </w:pPr>
            <w:r>
              <w:rPr>
                <w:sz w:val="18"/>
              </w:rPr>
              <w:t>*Fixed pricing is reflective of brands at the listed product level. All providers are not required to carry all brands.</w:t>
            </w:r>
          </w:p>
        </w:tc>
      </w:tr>
    </w:tbl>
    <w:p w:rsidR="00252F37" w:rsidRDefault="00252F37" w:rsidP="00246F0F">
      <w:pPr>
        <w:spacing w:before="88"/>
        <w:ind w:left="1440"/>
      </w:pPr>
    </w:p>
    <w:sectPr w:rsidR="00252F37">
      <w:pgSz w:w="12240" w:h="15840"/>
      <w:pgMar w:top="860" w:right="0" w:bottom="900" w:left="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D" w:rsidRDefault="00A352C4">
      <w:r>
        <w:separator/>
      </w:r>
    </w:p>
  </w:endnote>
  <w:endnote w:type="continuationSeparator" w:id="0">
    <w:p w:rsidR="00DC396D" w:rsidRDefault="00A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37" w:rsidRDefault="00246F0F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9465945</wp:posOffset>
              </wp:positionV>
              <wp:extent cx="929640" cy="14986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F37" w:rsidRDefault="00252F37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5.35pt;width:73.2pt;height:11.8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ibrAIAAKg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" filled="f" stroked="f">
              <v:textbox inset="0,0,0,0">
                <w:txbxContent>
                  <w:p w:rsidR="00252F37" w:rsidRDefault="00252F37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9462770</wp:posOffset>
              </wp:positionV>
              <wp:extent cx="131445" cy="179705"/>
              <wp:effectExtent l="0" t="444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F37" w:rsidRDefault="00A352C4">
                          <w:pPr>
                            <w:pStyle w:val="BodyText"/>
                            <w:spacing w:before="19"/>
                            <w:ind w:left="4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B2E">
                            <w:rPr>
                              <w:rFonts w:ascii="Verdana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00.75pt;margin-top:745.1pt;width:10.35pt;height:14.1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G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" filled="f" stroked="f">
              <v:textbox inset="0,0,0,0">
                <w:txbxContent>
                  <w:p w:rsidR="00252F37" w:rsidRDefault="00A352C4">
                    <w:pPr>
                      <w:pStyle w:val="BodyText"/>
                      <w:spacing w:before="19"/>
                      <w:ind w:left="4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B2E">
                      <w:rPr>
                        <w:rFonts w:ascii="Verdana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D" w:rsidRDefault="00A352C4">
      <w:r>
        <w:separator/>
      </w:r>
    </w:p>
  </w:footnote>
  <w:footnote w:type="continuationSeparator" w:id="0">
    <w:p w:rsidR="00DC396D" w:rsidRDefault="00A3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5CF"/>
    <w:multiLevelType w:val="hybridMultilevel"/>
    <w:tmpl w:val="040EEB10"/>
    <w:lvl w:ilvl="0" w:tplc="730ACDB2">
      <w:start w:val="1"/>
      <w:numFmt w:val="decimal"/>
      <w:lvlText w:val="%1"/>
      <w:lvlJc w:val="left"/>
      <w:pPr>
        <w:ind w:left="1584" w:hanging="144"/>
        <w:jc w:val="left"/>
      </w:pPr>
      <w:rPr>
        <w:rFonts w:ascii="Verdana" w:eastAsia="Verdana" w:hAnsi="Verdana" w:cs="Verdana" w:hint="default"/>
        <w:i/>
        <w:w w:val="97"/>
        <w:position w:val="9"/>
        <w:sz w:val="14"/>
        <w:szCs w:val="14"/>
        <w:lang w:val="en-US" w:eastAsia="en-US" w:bidi="en-US"/>
      </w:rPr>
    </w:lvl>
    <w:lvl w:ilvl="1" w:tplc="E048B7E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23942EF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3" w:tplc="E11227D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FC1A036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5" w:tplc="9EC45BE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6E4CD38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7" w:tplc="33A0C922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  <w:lvl w:ilvl="8" w:tplc="B1F69A6E">
      <w:numFmt w:val="bullet"/>
      <w:lvlText w:val="•"/>
      <w:lvlJc w:val="left"/>
      <w:pPr>
        <w:ind w:left="100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16E4BF0"/>
    <w:multiLevelType w:val="hybridMultilevel"/>
    <w:tmpl w:val="E6D64354"/>
    <w:lvl w:ilvl="0" w:tplc="6BCCE1F2">
      <w:numFmt w:val="bullet"/>
      <w:lvlText w:val=""/>
      <w:lvlJc w:val="left"/>
      <w:pPr>
        <w:ind w:left="1891" w:hanging="452"/>
      </w:pPr>
      <w:rPr>
        <w:rFonts w:ascii="Symbol" w:eastAsia="Symbol" w:hAnsi="Symbol" w:cs="Symbol" w:hint="default"/>
        <w:color w:val="50C8E8"/>
        <w:w w:val="99"/>
        <w:sz w:val="24"/>
        <w:szCs w:val="24"/>
        <w:lang w:val="en-US" w:eastAsia="en-US" w:bidi="en-US"/>
      </w:rPr>
    </w:lvl>
    <w:lvl w:ilvl="1" w:tplc="C2B2AE4C">
      <w:numFmt w:val="bullet"/>
      <w:lvlText w:val="•"/>
      <w:lvlJc w:val="left"/>
      <w:pPr>
        <w:ind w:left="2934" w:hanging="452"/>
      </w:pPr>
      <w:rPr>
        <w:rFonts w:hint="default"/>
        <w:lang w:val="en-US" w:eastAsia="en-US" w:bidi="en-US"/>
      </w:rPr>
    </w:lvl>
    <w:lvl w:ilvl="2" w:tplc="3F9E0858">
      <w:numFmt w:val="bullet"/>
      <w:lvlText w:val="•"/>
      <w:lvlJc w:val="left"/>
      <w:pPr>
        <w:ind w:left="3968" w:hanging="452"/>
      </w:pPr>
      <w:rPr>
        <w:rFonts w:hint="default"/>
        <w:lang w:val="en-US" w:eastAsia="en-US" w:bidi="en-US"/>
      </w:rPr>
    </w:lvl>
    <w:lvl w:ilvl="3" w:tplc="8F403034">
      <w:numFmt w:val="bullet"/>
      <w:lvlText w:val="•"/>
      <w:lvlJc w:val="left"/>
      <w:pPr>
        <w:ind w:left="5002" w:hanging="452"/>
      </w:pPr>
      <w:rPr>
        <w:rFonts w:hint="default"/>
        <w:lang w:val="en-US" w:eastAsia="en-US" w:bidi="en-US"/>
      </w:rPr>
    </w:lvl>
    <w:lvl w:ilvl="4" w:tplc="A9F81262">
      <w:numFmt w:val="bullet"/>
      <w:lvlText w:val="•"/>
      <w:lvlJc w:val="left"/>
      <w:pPr>
        <w:ind w:left="6036" w:hanging="452"/>
      </w:pPr>
      <w:rPr>
        <w:rFonts w:hint="default"/>
        <w:lang w:val="en-US" w:eastAsia="en-US" w:bidi="en-US"/>
      </w:rPr>
    </w:lvl>
    <w:lvl w:ilvl="5" w:tplc="9B3E3354">
      <w:numFmt w:val="bullet"/>
      <w:lvlText w:val="•"/>
      <w:lvlJc w:val="left"/>
      <w:pPr>
        <w:ind w:left="7070" w:hanging="452"/>
      </w:pPr>
      <w:rPr>
        <w:rFonts w:hint="default"/>
        <w:lang w:val="en-US" w:eastAsia="en-US" w:bidi="en-US"/>
      </w:rPr>
    </w:lvl>
    <w:lvl w:ilvl="6" w:tplc="7BBE9C1A">
      <w:numFmt w:val="bullet"/>
      <w:lvlText w:val="•"/>
      <w:lvlJc w:val="left"/>
      <w:pPr>
        <w:ind w:left="8104" w:hanging="452"/>
      </w:pPr>
      <w:rPr>
        <w:rFonts w:hint="default"/>
        <w:lang w:val="en-US" w:eastAsia="en-US" w:bidi="en-US"/>
      </w:rPr>
    </w:lvl>
    <w:lvl w:ilvl="7" w:tplc="318AF6DC">
      <w:numFmt w:val="bullet"/>
      <w:lvlText w:val="•"/>
      <w:lvlJc w:val="left"/>
      <w:pPr>
        <w:ind w:left="9138" w:hanging="452"/>
      </w:pPr>
      <w:rPr>
        <w:rFonts w:hint="default"/>
        <w:lang w:val="en-US" w:eastAsia="en-US" w:bidi="en-US"/>
      </w:rPr>
    </w:lvl>
    <w:lvl w:ilvl="8" w:tplc="DFE0365C">
      <w:numFmt w:val="bullet"/>
      <w:lvlText w:val="•"/>
      <w:lvlJc w:val="left"/>
      <w:pPr>
        <w:ind w:left="10172" w:hanging="45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37"/>
    <w:rsid w:val="001C1B2E"/>
    <w:rsid w:val="00246F0F"/>
    <w:rsid w:val="00252F37"/>
    <w:rsid w:val="00A352C4"/>
    <w:rsid w:val="00D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4EAA8EC-F5D9-4099-A4E1-1474492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8"/>
      <w:ind w:left="1440"/>
      <w:outlineLvl w:val="0"/>
    </w:pPr>
    <w:rPr>
      <w:rFonts w:ascii="Segoe UI Semibold" w:eastAsia="Segoe UI Semibold" w:hAnsi="Segoe UI Semibold" w:cs="Segoe UI Semibold"/>
      <w:sz w:val="40"/>
      <w:szCs w:val="40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Segoe UI Semibold" w:eastAsia="Segoe UI Semibold" w:hAnsi="Segoe UI Semibold" w:cs="Segoe UI Semibold"/>
      <w:sz w:val="24"/>
      <w:szCs w:val="24"/>
    </w:rPr>
  </w:style>
  <w:style w:type="paragraph" w:styleId="Heading3">
    <w:name w:val="heading 3"/>
    <w:basedOn w:val="Normal"/>
    <w:uiPriority w:val="1"/>
    <w:qFormat/>
    <w:pPr>
      <w:ind w:left="143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1891" w:hanging="451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0F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46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F0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6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F0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2306</Characters>
  <Application>Microsoft Office Word</Application>
  <DocSecurity>4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</vt:lpstr>
    </vt:vector>
  </TitlesOfParts>
  <Company>Health Care Service Corporation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</dc:title>
  <dc:creator>HCSC User</dc:creator>
  <cp:lastModifiedBy>Kel Jaeger</cp:lastModifiedBy>
  <cp:revision>2</cp:revision>
  <cp:lastPrinted>2020-10-01T16:57:00Z</cp:lastPrinted>
  <dcterms:created xsi:type="dcterms:W3CDTF">2020-10-16T22:40:00Z</dcterms:created>
  <dcterms:modified xsi:type="dcterms:W3CDTF">2020-10-16T22:40:00Z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2020-10-01T00:00:00Z</vt:filetime>
  </property>
</Properties>
</file>